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62" w:rsidRPr="00546B59" w:rsidRDefault="00D56862" w:rsidP="00546B59">
      <w:pPr>
        <w:spacing w:before="100" w:beforeAutospacing="1" w:after="100" w:afterAutospacing="1" w:line="240" w:lineRule="atLeast"/>
        <w:jc w:val="right"/>
        <w:rPr>
          <w:rFonts w:ascii="Times Nordic" w:hAnsi="Times Nordic"/>
          <w:b/>
          <w:bCs/>
          <w:lang w:val="en-US" w:eastAsia="it-IT"/>
        </w:rPr>
      </w:pPr>
      <w:r w:rsidRPr="00546B59">
        <w:rPr>
          <w:rFonts w:ascii="Times Nordic" w:hAnsi="Times Nordic"/>
          <w:b/>
          <w:bCs/>
          <w:lang w:val="en-US" w:eastAsia="it-IT"/>
        </w:rPr>
        <w:t>N. 03383/2012REG.PROV.COLL.</w:t>
      </w:r>
    </w:p>
    <w:p w:rsidR="00D56862" w:rsidRPr="00546B59" w:rsidRDefault="00D56862" w:rsidP="00546B59">
      <w:pPr>
        <w:spacing w:before="100" w:beforeAutospacing="1" w:after="100" w:afterAutospacing="1" w:line="240" w:lineRule="atLeast"/>
        <w:jc w:val="right"/>
        <w:rPr>
          <w:rFonts w:ascii="Times Nordic" w:hAnsi="Times Nordic"/>
          <w:b/>
          <w:bCs/>
          <w:lang w:val="en-US" w:eastAsia="it-IT"/>
        </w:rPr>
      </w:pPr>
      <w:r w:rsidRPr="00546B59">
        <w:rPr>
          <w:rFonts w:ascii="Times Nordic" w:hAnsi="Times Nordic"/>
          <w:b/>
          <w:bCs/>
          <w:lang w:val="en-US" w:eastAsia="it-IT"/>
        </w:rPr>
        <w:t>N. 03842/2010 REG.RIC.</w:t>
      </w:r>
    </w:p>
    <w:p w:rsidR="00D56862" w:rsidRPr="00546B59" w:rsidRDefault="00D56862" w:rsidP="00546B59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color w:val="000000"/>
          <w:spacing w:val="150"/>
          <w:sz w:val="24"/>
          <w:szCs w:val="24"/>
          <w:lang w:eastAsia="it-IT"/>
        </w:rPr>
      </w:pPr>
      <w:r w:rsidRPr="000C2041">
        <w:rPr>
          <w:rFonts w:ascii="Garamond" w:hAnsi="Garamond"/>
          <w:b/>
          <w:noProof/>
          <w:color w:val="000000"/>
          <w:spacing w:val="150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://www.giustizia-amministrativa.it/DocumentiGA/Consiglio%20di%20Stato/Sezione%204/2010/201003842/Provvedimenti/stemma.jpg" style="width:57pt;height:65.4pt;visibility:visible">
            <v:imagedata r:id="rId4" o:title=""/>
          </v:shape>
        </w:pict>
      </w:r>
    </w:p>
    <w:p w:rsidR="00D56862" w:rsidRPr="00546B59" w:rsidRDefault="00D56862" w:rsidP="00546B59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color w:val="000000"/>
          <w:spacing w:val="150"/>
          <w:sz w:val="24"/>
          <w:szCs w:val="24"/>
          <w:lang w:eastAsia="it-IT"/>
        </w:rPr>
      </w:pPr>
      <w:r w:rsidRPr="00546B59">
        <w:rPr>
          <w:rFonts w:ascii="Garamond" w:hAnsi="Garamond"/>
          <w:b/>
          <w:bCs/>
          <w:color w:val="000000"/>
          <w:spacing w:val="150"/>
          <w:sz w:val="24"/>
          <w:szCs w:val="24"/>
          <w:lang w:eastAsia="it-IT"/>
        </w:rPr>
        <w:t>REPUBBLICA ITALIANA</w:t>
      </w:r>
    </w:p>
    <w:p w:rsidR="00D56862" w:rsidRPr="00546B59" w:rsidRDefault="00D56862" w:rsidP="00546B59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color w:val="000000"/>
          <w:lang w:eastAsia="it-IT"/>
        </w:rPr>
      </w:pPr>
      <w:r w:rsidRPr="00546B59">
        <w:rPr>
          <w:rFonts w:ascii="Garamond" w:hAnsi="Garamond"/>
          <w:b/>
          <w:bCs/>
          <w:color w:val="000000"/>
          <w:lang w:eastAsia="it-IT"/>
        </w:rPr>
        <w:t>IN NOME DEL POPOLO ITALIANO</w:t>
      </w:r>
    </w:p>
    <w:p w:rsidR="00D56862" w:rsidRPr="00546B59" w:rsidRDefault="00D56862" w:rsidP="00546B59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color w:val="000000"/>
          <w:sz w:val="26"/>
          <w:szCs w:val="26"/>
          <w:lang w:eastAsia="it-IT"/>
        </w:rPr>
      </w:pPr>
      <w:r w:rsidRPr="00546B59">
        <w:rPr>
          <w:rFonts w:ascii="Garamond" w:hAnsi="Garamond"/>
          <w:b/>
          <w:bCs/>
          <w:color w:val="000000"/>
          <w:sz w:val="26"/>
          <w:szCs w:val="26"/>
          <w:lang w:eastAsia="it-IT"/>
        </w:rPr>
        <w:t>Il Consiglio di Stato</w:t>
      </w:r>
    </w:p>
    <w:p w:rsidR="00D56862" w:rsidRPr="00546B59" w:rsidRDefault="00D56862" w:rsidP="00546B59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color w:val="000000"/>
          <w:sz w:val="26"/>
          <w:szCs w:val="26"/>
          <w:lang w:eastAsia="it-IT"/>
        </w:rPr>
      </w:pPr>
      <w:r w:rsidRPr="00546B59">
        <w:rPr>
          <w:rFonts w:ascii="Garamond" w:hAnsi="Garamond"/>
          <w:b/>
          <w:bCs/>
          <w:color w:val="000000"/>
          <w:sz w:val="26"/>
          <w:szCs w:val="26"/>
          <w:lang w:eastAsia="it-IT"/>
        </w:rPr>
        <w:t>in sede giurisdizionale (Sezione Quarta)</w:t>
      </w:r>
    </w:p>
    <w:p w:rsidR="00D56862" w:rsidRPr="00546B59" w:rsidRDefault="00D56862" w:rsidP="00546B59">
      <w:pPr>
        <w:spacing w:after="0" w:line="520" w:lineRule="atLeast"/>
        <w:ind w:firstLine="567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ha pronunciato la presente</w:t>
      </w:r>
    </w:p>
    <w:p w:rsidR="00D56862" w:rsidRPr="00546B59" w:rsidRDefault="00D56862" w:rsidP="00546B59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color w:val="000000"/>
          <w:sz w:val="26"/>
          <w:szCs w:val="26"/>
          <w:lang w:eastAsia="it-IT"/>
        </w:rPr>
      </w:pPr>
      <w:r w:rsidRPr="00546B59">
        <w:rPr>
          <w:rFonts w:ascii="Garamond" w:hAnsi="Garamond"/>
          <w:b/>
          <w:bCs/>
          <w:color w:val="000000"/>
          <w:sz w:val="26"/>
          <w:szCs w:val="26"/>
          <w:lang w:eastAsia="it-IT"/>
        </w:rPr>
        <w:t>SENTENZA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 xml:space="preserve">sul ricorso numero di registro generale 3842 del 2010, proposto da: </w:t>
      </w:r>
      <w:r w:rsidRPr="00546B59">
        <w:rPr>
          <w:rFonts w:ascii="Garamond" w:hAnsi="Garamond"/>
          <w:sz w:val="30"/>
          <w:szCs w:val="30"/>
          <w:lang w:eastAsia="it-IT"/>
        </w:rPr>
        <w:br/>
        <w:t xml:space="preserve">Ministero dell'Economia e delle Finanze, Comando Generale della Guardia di Finanza, XX Legione Guardia di Finanza Catanzaro, Nucleo Polizia Tributaria Reggio Calabria, Direzione Investigativa Antimafia C.O. Reggio Calabria, rappresentati e difesi dall'Avvocatura, domiciliata per legge in Roma, via dei Portoghesi, 12; </w:t>
      </w:r>
    </w:p>
    <w:p w:rsidR="00D56862" w:rsidRPr="00546B59" w:rsidRDefault="00D56862" w:rsidP="00546B59">
      <w:pPr>
        <w:spacing w:after="0" w:line="520" w:lineRule="atLeast"/>
        <w:jc w:val="center"/>
        <w:rPr>
          <w:rFonts w:ascii="Garamond" w:hAnsi="Garamond"/>
          <w:b/>
          <w:bCs/>
          <w:i/>
          <w:iCs/>
          <w:sz w:val="30"/>
          <w:szCs w:val="30"/>
          <w:lang w:eastAsia="it-IT"/>
        </w:rPr>
      </w:pPr>
      <w:r w:rsidRPr="00546B59">
        <w:rPr>
          <w:rFonts w:ascii="Garamond" w:hAnsi="Garamond"/>
          <w:b/>
          <w:bCs/>
          <w:i/>
          <w:iCs/>
          <w:sz w:val="30"/>
          <w:szCs w:val="30"/>
          <w:lang w:eastAsia="it-IT"/>
        </w:rPr>
        <w:t>contro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>
        <w:rPr>
          <w:rFonts w:ascii="Garamond" w:hAnsi="Garamond"/>
          <w:sz w:val="30"/>
          <w:szCs w:val="30"/>
          <w:lang w:eastAsia="it-IT"/>
        </w:rPr>
        <w:t>XXXX XXXX</w:t>
      </w:r>
      <w:r w:rsidRPr="00546B59">
        <w:rPr>
          <w:rFonts w:ascii="Garamond" w:hAnsi="Garamond"/>
          <w:sz w:val="30"/>
          <w:szCs w:val="30"/>
          <w:lang w:eastAsia="it-IT"/>
        </w:rPr>
        <w:t xml:space="preserve">, rappresentato e difeso dall'avv. </w:t>
      </w:r>
      <w:r>
        <w:rPr>
          <w:rFonts w:ascii="Garamond" w:hAnsi="Garamond"/>
          <w:sz w:val="30"/>
          <w:szCs w:val="30"/>
          <w:lang w:eastAsia="it-IT"/>
        </w:rPr>
        <w:t>XXXX XXXXX</w:t>
      </w:r>
      <w:r w:rsidRPr="00546B59">
        <w:rPr>
          <w:rFonts w:ascii="Garamond" w:hAnsi="Garamond"/>
          <w:sz w:val="30"/>
          <w:szCs w:val="30"/>
          <w:lang w:eastAsia="it-IT"/>
        </w:rPr>
        <w:t xml:space="preserve">, con domicilio eletto presso </w:t>
      </w:r>
      <w:r>
        <w:rPr>
          <w:rFonts w:ascii="Garamond" w:hAnsi="Garamond"/>
          <w:sz w:val="30"/>
          <w:szCs w:val="30"/>
          <w:lang w:eastAsia="it-IT"/>
        </w:rPr>
        <w:t>XXXXX XXXX</w:t>
      </w:r>
      <w:r w:rsidRPr="00546B59">
        <w:rPr>
          <w:rFonts w:ascii="Garamond" w:hAnsi="Garamond"/>
          <w:sz w:val="30"/>
          <w:szCs w:val="30"/>
          <w:lang w:eastAsia="it-IT"/>
        </w:rPr>
        <w:t xml:space="preserve"> in Roma, </w:t>
      </w:r>
      <w:r>
        <w:rPr>
          <w:rFonts w:ascii="Garamond" w:hAnsi="Garamond"/>
          <w:sz w:val="30"/>
          <w:szCs w:val="30"/>
          <w:lang w:eastAsia="it-IT"/>
        </w:rPr>
        <w:t>…</w:t>
      </w:r>
      <w:r w:rsidRPr="00546B59">
        <w:rPr>
          <w:rFonts w:ascii="Garamond" w:hAnsi="Garamond"/>
          <w:sz w:val="30"/>
          <w:szCs w:val="30"/>
          <w:lang w:eastAsia="it-IT"/>
        </w:rPr>
        <w:t xml:space="preserve">; </w:t>
      </w:r>
    </w:p>
    <w:p w:rsidR="00D56862" w:rsidRPr="00546B59" w:rsidRDefault="00D56862" w:rsidP="00546B59">
      <w:pPr>
        <w:spacing w:after="0" w:line="520" w:lineRule="atLeast"/>
        <w:jc w:val="center"/>
        <w:rPr>
          <w:rFonts w:ascii="Garamond" w:hAnsi="Garamond"/>
          <w:b/>
          <w:bCs/>
          <w:i/>
          <w:iCs/>
          <w:sz w:val="30"/>
          <w:szCs w:val="30"/>
          <w:lang w:eastAsia="it-IT"/>
        </w:rPr>
      </w:pPr>
      <w:r w:rsidRPr="00546B59">
        <w:rPr>
          <w:rFonts w:ascii="Garamond" w:hAnsi="Garamond"/>
          <w:b/>
          <w:bCs/>
          <w:i/>
          <w:iCs/>
          <w:sz w:val="30"/>
          <w:szCs w:val="30"/>
          <w:lang w:eastAsia="it-IT"/>
        </w:rPr>
        <w:t>per la riforma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della sentenza del T.A.R. CALABRIA - sez. Staccata di Reggio Calabria n. 00067/2010, resa tra le parti, concernente accertamento del diritto all'indennità di trasferimento.</w:t>
      </w:r>
    </w:p>
    <w:p w:rsidR="00D56862" w:rsidRPr="00546B59" w:rsidRDefault="00D56862" w:rsidP="00546B59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Visti il ricorso in appello e i relativi allegati;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 xml:space="preserve">Visto l'atto di costituzione in giudizio di </w:t>
      </w:r>
      <w:r>
        <w:rPr>
          <w:rFonts w:ascii="Garamond" w:hAnsi="Garamond"/>
          <w:sz w:val="30"/>
          <w:szCs w:val="30"/>
          <w:lang w:eastAsia="it-IT"/>
        </w:rPr>
        <w:t>XXXXX XXXXX</w:t>
      </w:r>
      <w:r w:rsidRPr="00546B59">
        <w:rPr>
          <w:rFonts w:ascii="Garamond" w:hAnsi="Garamond"/>
          <w:sz w:val="30"/>
          <w:szCs w:val="30"/>
          <w:lang w:eastAsia="it-IT"/>
        </w:rPr>
        <w:t>;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Viste le memorie difensive;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Visti tutti gli atti della causa;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Relatore nell'udienza pubblica del giorno 15 maggio 2012 il Cons. Giulio Veltri e uditi per le parti gli avvocati Maurizio Greco, avvocato dello Stato;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Ritenuto e considerato in fatto e diritto quanto segue.</w:t>
      </w:r>
    </w:p>
    <w:p w:rsidR="00D56862" w:rsidRPr="00546B59" w:rsidRDefault="00D56862" w:rsidP="00546B59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D56862" w:rsidRPr="00546B59" w:rsidRDefault="00D56862" w:rsidP="00546B59">
      <w:pPr>
        <w:spacing w:after="0" w:line="540" w:lineRule="atLeast"/>
        <w:jc w:val="center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FATTO e DIRITTO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 xml:space="preserve">Il sig. </w:t>
      </w:r>
      <w:r>
        <w:rPr>
          <w:rFonts w:ascii="Garamond" w:hAnsi="Garamond"/>
          <w:sz w:val="30"/>
          <w:szCs w:val="30"/>
          <w:lang w:eastAsia="it-IT"/>
        </w:rPr>
        <w:t>XXXXXX XXXXX</w:t>
      </w:r>
      <w:r w:rsidRPr="00546B59">
        <w:rPr>
          <w:rFonts w:ascii="Garamond" w:hAnsi="Garamond"/>
          <w:sz w:val="30"/>
          <w:szCs w:val="30"/>
          <w:lang w:eastAsia="it-IT"/>
        </w:rPr>
        <w:t xml:space="preserve">, dipendente del Corpo della Guardia di Finanza, era trasferito, con determinazione del Comando Generale del 14 settembre 1999, alla D.I.A. – Centro operativo di Reggio Calabria. 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 xml:space="preserve">Ritenendo di averne diritto in forza del trasferimento, il medesimo chiedeva all’amministrazione i benefici economici previsti dalla legge 100/87. 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L’amministrazione denegava l’indennità osservando che l’assegnazione alla D.I.A. era da considerare a domanda e non d’autorità.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 xml:space="preserve">Il sig. </w:t>
      </w:r>
      <w:r>
        <w:rPr>
          <w:rFonts w:ascii="Garamond" w:hAnsi="Garamond"/>
          <w:sz w:val="30"/>
          <w:szCs w:val="30"/>
          <w:lang w:eastAsia="it-IT"/>
        </w:rPr>
        <w:t>XXXXXX XXXXX</w:t>
      </w:r>
      <w:r w:rsidRPr="00546B59">
        <w:rPr>
          <w:rFonts w:ascii="Garamond" w:hAnsi="Garamond"/>
          <w:sz w:val="30"/>
          <w:szCs w:val="30"/>
          <w:lang w:eastAsia="it-IT"/>
        </w:rPr>
        <w:t xml:space="preserve"> proponeva ricorso giurisdizionale.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Il TAR Calabria, chiarito che il trasferimento era stato disposto dall’amministrazione per esigenze organizzative, e non su domanda dell’interessato, ha riconosciuto la spettanza dell’indennità, in proposito osservando che l’assenso successivamente manifestato dall’interessato non poteva valere a mutare la natura della procedura.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 xml:space="preserve">Propone appello l’amministrazione. 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Secondo l’amministrazione – che in proposito richiama una nutrita giurisprudenza anche della Sezione – la dichiarazione di gradimento al disposto trasferimento ed alla sua qualificazione come "a domanda" sarebbe idonea a modificare la natura dello stesso, ed anche ove non lo fosse, si configurerebbe comunque quale formale manifestazione di acquiescenza, con tutte le relative conseguenze anche di carattere economico.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Si difende l’appellato, evidenziando come la richiesta della D.I.A. avesse ad oggetto un trasferimento per “esigenze di servizio”, e come fosse mancata qualsivoglia informazione circa la facoltà di rifiutare la nuova destinazione senza conseguenze.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La causa è stata trattenuta in decisione alla pubblica udienza del 15 maggio 2012.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L’appello non è fondato.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 xml:space="preserve">La giurisprudenza, correttamente citata dall’amministrazione appellante e risalente agli anni 2006/2008, aveva in effetti posto l’accento sulla significatività del gradimento espresso al trasferimento d’autorità, non tanto ai fini della natura del trasferimento – sempre considerato d’autorità – quanto ai fini economici, ritenendo in particolare il gradimento una manifestazione di acquiescenza (per tutte, cfr. sez. IV 03/04/2006 n. 1705). 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L’indirizzo interpretativo è stato tuttavia di recente superato, affermandosi – proprio con riferimento a fattispecie analoghe a quella oggi in discussione – che ove il trasferimento di unità di personale sia destinato a soddisfare prioritariamente un interesse vitale dell'amministrazione della pubblica sicurezza e dell'ordinamento in generale, la dichiarazione di gradimento del personale, ai sensi del d.m. 29 dicembre 1992, altro non costituisce che una mera manifestazione di assenso o di disponibilità alla nuova destinazione (Cfr. sez. IV, 19/12/2008, n. 6405 e, da ultimo, sez. IV 07/02/2011 n. 814).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Il mutamento è condivisibile nella misura in cui pone un discrimine chiaro nel genus dei trasferimenti (a domanda o d’autorità), sulla base delle esigenze che lo spostamento mira a soddisfare, in guisa che, solo ove vi sia una domanda del dipendente motivata da esigenze o aspirazioni personali possa dibattersi di trasferimento “a domanda”. Coglie altresì l’essenza del beneficio riconosciuto, individuabile nella radice organizzativa ed istituzionale dello ius variandi esercitato, contribuendo opportunamente a depotenziare argomentazioni che fondano sull’assenso postumo (le cui ragioni rimangono puramente soggettive e personali) una presunzione iuris et de iure di spontanea e libera volontà, secondo un’inversione logico giuridica che arriva ad obliterare il diritto all’indennità.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L’appello è dunque respinto.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Avuto riguardo al mutamento del quadro giurisprudenziale, le spese possono essere compensate.</w:t>
      </w:r>
    </w:p>
    <w:p w:rsidR="00D56862" w:rsidRPr="00546B59" w:rsidRDefault="00D56862" w:rsidP="00546B59">
      <w:pPr>
        <w:spacing w:after="0" w:line="540" w:lineRule="atLeast"/>
        <w:jc w:val="center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P.Q.M.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Il Consiglio di Stato in sede giurisdizionale (Sezione Quarta) definitivamente pronunciando sull'appello, come in epigrafe proposto, lo respinge.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Spese compensate.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Ordina che la presente sentenza sia eseguita dall'autorità amministrativa.</w:t>
      </w:r>
    </w:p>
    <w:p w:rsidR="00D56862" w:rsidRPr="00546B59" w:rsidRDefault="00D56862" w:rsidP="00546B59">
      <w:pPr>
        <w:spacing w:after="0" w:line="520" w:lineRule="atLeast"/>
        <w:jc w:val="both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Così deciso in Roma nella camera di consiglio del giorno 15 maggio 2012 con l'intervento dei magistrati:</w:t>
      </w:r>
    </w:p>
    <w:p w:rsidR="00D56862" w:rsidRPr="00546B59" w:rsidRDefault="00D56862" w:rsidP="00546B59">
      <w:pPr>
        <w:spacing w:after="0" w:line="520" w:lineRule="atLeast"/>
        <w:ind w:firstLine="567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Giorgio Giaccardi, Presidente</w:t>
      </w:r>
    </w:p>
    <w:p w:rsidR="00D56862" w:rsidRPr="00546B59" w:rsidRDefault="00D56862" w:rsidP="00546B59">
      <w:pPr>
        <w:spacing w:after="0" w:line="520" w:lineRule="atLeast"/>
        <w:ind w:firstLine="567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Fabio Taormina, Consigliere</w:t>
      </w:r>
    </w:p>
    <w:p w:rsidR="00D56862" w:rsidRPr="00546B59" w:rsidRDefault="00D56862" w:rsidP="00546B59">
      <w:pPr>
        <w:spacing w:after="0" w:line="520" w:lineRule="atLeast"/>
        <w:ind w:firstLine="567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Diego Sabatino, Consigliere</w:t>
      </w:r>
    </w:p>
    <w:p w:rsidR="00D56862" w:rsidRPr="00546B59" w:rsidRDefault="00D56862" w:rsidP="00546B59">
      <w:pPr>
        <w:spacing w:after="0" w:line="520" w:lineRule="atLeast"/>
        <w:ind w:firstLine="567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Guido Romano, Consigliere</w:t>
      </w:r>
    </w:p>
    <w:p w:rsidR="00D56862" w:rsidRPr="00546B59" w:rsidRDefault="00D56862" w:rsidP="00546B59">
      <w:pPr>
        <w:spacing w:line="520" w:lineRule="atLeast"/>
        <w:ind w:firstLine="567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Giulio Veltri, Consigliere, Estensore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35"/>
        <w:gridCol w:w="115"/>
        <w:gridCol w:w="5018"/>
      </w:tblGrid>
      <w:tr w:rsidR="00D56862" w:rsidRPr="000C2041" w:rsidTr="00546B59"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546B59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56862" w:rsidRPr="000C2041" w:rsidTr="00546B59"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546B59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56862" w:rsidRPr="000C2041" w:rsidTr="00546B59"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546B59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L'ESTENSORE</w:t>
            </w: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546B59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IL PRESIDENTE</w:t>
            </w:r>
          </w:p>
        </w:tc>
      </w:tr>
      <w:tr w:rsidR="00D56862" w:rsidRPr="000C2041" w:rsidTr="00546B59"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546B59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56862" w:rsidRPr="000C2041" w:rsidTr="00546B59"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546B59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56862" w:rsidRPr="000C2041" w:rsidTr="00546B59"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546B59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56862" w:rsidRPr="000C2041" w:rsidTr="00546B59"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546B59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56862" w:rsidRPr="000C2041" w:rsidTr="00546B59"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546B59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56862" w:rsidRPr="00546B59" w:rsidRDefault="00D56862" w:rsidP="00546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D56862" w:rsidRPr="00546B59" w:rsidRDefault="00D56862" w:rsidP="00546B59">
      <w:pPr>
        <w:spacing w:after="0" w:line="540" w:lineRule="atLeast"/>
        <w:jc w:val="center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DEPOSITATA IN SEGRETERIA</w:t>
      </w:r>
    </w:p>
    <w:p w:rsidR="00D56862" w:rsidRPr="00546B59" w:rsidRDefault="00D56862" w:rsidP="00546B59">
      <w:pPr>
        <w:spacing w:after="0" w:line="540" w:lineRule="atLeast"/>
        <w:jc w:val="center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Il 07/06/2012</w:t>
      </w:r>
    </w:p>
    <w:p w:rsidR="00D56862" w:rsidRPr="00546B59" w:rsidRDefault="00D56862" w:rsidP="00546B59">
      <w:pPr>
        <w:spacing w:after="0" w:line="540" w:lineRule="atLeast"/>
        <w:jc w:val="center"/>
        <w:rPr>
          <w:rFonts w:ascii="Garamond" w:hAnsi="Garamond"/>
          <w:sz w:val="30"/>
          <w:szCs w:val="30"/>
          <w:lang w:eastAsia="it-IT"/>
        </w:rPr>
      </w:pPr>
      <w:r w:rsidRPr="00546B59">
        <w:rPr>
          <w:rFonts w:ascii="Garamond" w:hAnsi="Garamond"/>
          <w:sz w:val="30"/>
          <w:szCs w:val="30"/>
          <w:lang w:eastAsia="it-IT"/>
        </w:rPr>
        <w:t>IL SEGRETARIO</w:t>
      </w:r>
    </w:p>
    <w:p w:rsidR="00D56862" w:rsidRPr="00546B59" w:rsidRDefault="00D56862" w:rsidP="00546B59">
      <w:pPr>
        <w:spacing w:line="540" w:lineRule="atLeast"/>
        <w:jc w:val="center"/>
        <w:rPr>
          <w:rFonts w:ascii="Garamond" w:hAnsi="Garamond"/>
          <w:sz w:val="30"/>
          <w:szCs w:val="30"/>
          <w:lang w:val="en-US" w:eastAsia="it-IT"/>
        </w:rPr>
      </w:pPr>
      <w:r w:rsidRPr="00546B59">
        <w:rPr>
          <w:rFonts w:ascii="Garamond" w:hAnsi="Garamond"/>
          <w:sz w:val="30"/>
          <w:szCs w:val="30"/>
          <w:lang w:val="en-US" w:eastAsia="it-IT"/>
        </w:rPr>
        <w:t>(Art. 89, co. 3, cod. proc. amm.)</w:t>
      </w:r>
    </w:p>
    <w:p w:rsidR="00D56862" w:rsidRPr="00546B59" w:rsidRDefault="00D56862">
      <w:pPr>
        <w:rPr>
          <w:lang w:val="en-US"/>
        </w:rPr>
      </w:pPr>
    </w:p>
    <w:sectPr w:rsidR="00D56862" w:rsidRPr="00546B59" w:rsidSect="005C7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ord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B59"/>
    <w:rsid w:val="000C2041"/>
    <w:rsid w:val="002D08A7"/>
    <w:rsid w:val="0038250D"/>
    <w:rsid w:val="004C29F1"/>
    <w:rsid w:val="00546B59"/>
    <w:rsid w:val="00562A1C"/>
    <w:rsid w:val="005C7D92"/>
    <w:rsid w:val="00B40867"/>
    <w:rsid w:val="00CD6F12"/>
    <w:rsid w:val="00D56862"/>
    <w:rsid w:val="00D63F83"/>
    <w:rsid w:val="00E01D24"/>
    <w:rsid w:val="00FA5B75"/>
    <w:rsid w:val="00FD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istri">
    <w:name w:val="registri"/>
    <w:basedOn w:val="Normal"/>
    <w:uiPriority w:val="99"/>
    <w:rsid w:val="00546B59"/>
    <w:pPr>
      <w:spacing w:before="100" w:beforeAutospacing="1" w:after="100" w:afterAutospacing="1" w:line="240" w:lineRule="atLeast"/>
      <w:jc w:val="right"/>
    </w:pPr>
    <w:rPr>
      <w:rFonts w:ascii="Times Nordic" w:eastAsia="Times New Roman" w:hAnsi="Times Nordic"/>
      <w:b/>
      <w:bCs/>
      <w:lang w:eastAsia="it-IT"/>
    </w:rPr>
  </w:style>
  <w:style w:type="paragraph" w:customStyle="1" w:styleId="repubblica">
    <w:name w:val="repubblica"/>
    <w:basedOn w:val="Normal"/>
    <w:uiPriority w:val="99"/>
    <w:rsid w:val="00546B59"/>
    <w:pPr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  <w:color w:val="000000"/>
      <w:spacing w:val="150"/>
      <w:sz w:val="24"/>
      <w:szCs w:val="24"/>
      <w:lang w:eastAsia="it-IT"/>
    </w:rPr>
  </w:style>
  <w:style w:type="paragraph" w:customStyle="1" w:styleId="popolo">
    <w:name w:val="popolo"/>
    <w:basedOn w:val="Normal"/>
    <w:uiPriority w:val="99"/>
    <w:rsid w:val="00546B59"/>
    <w:pPr>
      <w:spacing w:after="0" w:line="520" w:lineRule="atLeast"/>
      <w:jc w:val="both"/>
    </w:pPr>
    <w:rPr>
      <w:rFonts w:ascii="Garamond" w:eastAsia="Times New Roman" w:hAnsi="Garamond"/>
      <w:sz w:val="30"/>
      <w:szCs w:val="30"/>
      <w:lang w:eastAsia="it-IT"/>
    </w:rPr>
  </w:style>
  <w:style w:type="paragraph" w:customStyle="1" w:styleId="sezione">
    <w:name w:val="sezione"/>
    <w:basedOn w:val="Normal"/>
    <w:uiPriority w:val="99"/>
    <w:rsid w:val="00546B59"/>
    <w:pPr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  <w:color w:val="000000"/>
      <w:sz w:val="26"/>
      <w:szCs w:val="26"/>
      <w:lang w:eastAsia="it-IT"/>
    </w:rPr>
  </w:style>
  <w:style w:type="paragraph" w:customStyle="1" w:styleId="innome">
    <w:name w:val="innome"/>
    <w:basedOn w:val="Normal"/>
    <w:uiPriority w:val="99"/>
    <w:rsid w:val="00546B59"/>
    <w:pPr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  <w:color w:val="000000"/>
      <w:lang w:eastAsia="it-IT"/>
    </w:rPr>
  </w:style>
  <w:style w:type="paragraph" w:customStyle="1" w:styleId="contro">
    <w:name w:val="contro"/>
    <w:basedOn w:val="Normal"/>
    <w:uiPriority w:val="99"/>
    <w:rsid w:val="00546B59"/>
    <w:pPr>
      <w:spacing w:after="0" w:line="520" w:lineRule="atLeast"/>
      <w:jc w:val="center"/>
    </w:pPr>
    <w:rPr>
      <w:rFonts w:ascii="Garamond" w:eastAsia="Times New Roman" w:hAnsi="Garamond"/>
      <w:b/>
      <w:bCs/>
      <w:i/>
      <w:iCs/>
      <w:sz w:val="30"/>
      <w:szCs w:val="30"/>
      <w:lang w:eastAsia="it-IT"/>
    </w:rPr>
  </w:style>
  <w:style w:type="paragraph" w:customStyle="1" w:styleId="tabula">
    <w:name w:val="tabula"/>
    <w:basedOn w:val="Normal"/>
    <w:uiPriority w:val="99"/>
    <w:rsid w:val="00546B59"/>
    <w:pPr>
      <w:spacing w:after="0" w:line="520" w:lineRule="atLeast"/>
      <w:ind w:firstLine="567"/>
    </w:pPr>
    <w:rPr>
      <w:rFonts w:ascii="Garamond" w:eastAsia="Times New Roman" w:hAnsi="Garamond"/>
      <w:sz w:val="30"/>
      <w:szCs w:val="30"/>
      <w:lang w:eastAsia="it-IT"/>
    </w:rPr>
  </w:style>
  <w:style w:type="paragraph" w:customStyle="1" w:styleId="fatto">
    <w:name w:val="fatto"/>
    <w:basedOn w:val="Normal"/>
    <w:uiPriority w:val="99"/>
    <w:rsid w:val="00546B59"/>
    <w:pPr>
      <w:spacing w:after="0" w:line="540" w:lineRule="atLeast"/>
      <w:jc w:val="center"/>
    </w:pPr>
    <w:rPr>
      <w:rFonts w:ascii="Garamond" w:eastAsia="Times New Roman" w:hAnsi="Garamond"/>
      <w:sz w:val="30"/>
      <w:szCs w:val="3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54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6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6930">
      <w:marLeft w:val="851"/>
      <w:marRight w:val="851"/>
      <w:marTop w:val="1134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833</Words>
  <Characters>4749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vallefuoco</cp:lastModifiedBy>
  <cp:revision>2</cp:revision>
  <dcterms:created xsi:type="dcterms:W3CDTF">2012-09-16T20:14:00Z</dcterms:created>
  <dcterms:modified xsi:type="dcterms:W3CDTF">2012-09-17T07:09:00Z</dcterms:modified>
</cp:coreProperties>
</file>